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C7C37" w14:textId="77777777" w:rsidR="00106BCF" w:rsidRDefault="00C5774D" w:rsidP="00C5774D">
      <w:pPr>
        <w:pStyle w:val="af0"/>
        <w:rPr>
          <w:rFonts w:eastAsiaTheme="minorEastAsia"/>
        </w:rPr>
      </w:pPr>
      <w:r>
        <w:rPr>
          <w:rFonts w:eastAsiaTheme="minorEastAsia"/>
        </w:rPr>
        <w:t>Supplementary material</w:t>
      </w:r>
    </w:p>
    <w:p w14:paraId="43C61AFA" w14:textId="77777777" w:rsidR="00C5774D" w:rsidRDefault="00C5774D" w:rsidP="001D7CDA">
      <w:pPr>
        <w:ind w:firstLine="420"/>
        <w:rPr>
          <w:rFonts w:eastAsiaTheme="minorEastAsia"/>
        </w:rPr>
      </w:pPr>
    </w:p>
    <w:p w14:paraId="2205D039" w14:textId="77777777" w:rsidR="00C5774D" w:rsidRDefault="00C5774D" w:rsidP="003D222B">
      <w:pPr>
        <w:pStyle w:val="a3"/>
      </w:pPr>
      <w:r w:rsidRPr="00A33CD1">
        <w:t>Supplementary Table 1. The baseline characteristics of patients with cervical cancer in the TCGA and GSE data cohorts.</w:t>
      </w:r>
    </w:p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942"/>
        <w:gridCol w:w="1466"/>
        <w:gridCol w:w="1582"/>
        <w:gridCol w:w="1407"/>
        <w:gridCol w:w="1478"/>
      </w:tblGrid>
      <w:tr w:rsidR="004E44F2" w:rsidRPr="005418C4" w14:paraId="7FD09586" w14:textId="77777777" w:rsidTr="007D256B">
        <w:trPr>
          <w:trHeight w:val="397"/>
          <w:jc w:val="center"/>
        </w:trPr>
        <w:tc>
          <w:tcPr>
            <w:tcW w:w="2363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5411E7A8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Covariates</w:t>
            </w:r>
          </w:p>
        </w:tc>
        <w:tc>
          <w:tcPr>
            <w:tcW w:w="1466" w:type="dxa"/>
            <w:vMerge w:val="restart"/>
            <w:shd w:val="clear" w:color="auto" w:fill="auto"/>
            <w:noWrap/>
            <w:vAlign w:val="center"/>
            <w:hideMark/>
          </w:tcPr>
          <w:p w14:paraId="4DF106C6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Total,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n (%)</w:t>
            </w:r>
          </w:p>
        </w:tc>
        <w:tc>
          <w:tcPr>
            <w:tcW w:w="2989" w:type="dxa"/>
            <w:gridSpan w:val="2"/>
            <w:shd w:val="clear" w:color="auto" w:fill="auto"/>
            <w:noWrap/>
            <w:vAlign w:val="center"/>
            <w:hideMark/>
          </w:tcPr>
          <w:p w14:paraId="329DC59A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Data sets, n (%)</w:t>
            </w:r>
          </w:p>
        </w:tc>
        <w:tc>
          <w:tcPr>
            <w:tcW w:w="1478" w:type="dxa"/>
            <w:vMerge w:val="restart"/>
            <w:shd w:val="clear" w:color="auto" w:fill="auto"/>
            <w:noWrap/>
            <w:vAlign w:val="center"/>
            <w:hideMark/>
          </w:tcPr>
          <w:p w14:paraId="69B27F75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i/>
                <w:color w:val="000000"/>
                <w:kern w:val="0"/>
              </w:rPr>
              <w:t>p</w:t>
            </w:r>
            <w:r w:rsidRPr="005418C4">
              <w:rPr>
                <w:rFonts w:eastAsia="等线"/>
                <w:color w:val="000000"/>
                <w:kern w:val="0"/>
              </w:rPr>
              <w:t xml:space="preserve"> value</w:t>
            </w:r>
          </w:p>
        </w:tc>
      </w:tr>
      <w:tr w:rsidR="004E44F2" w:rsidRPr="005418C4" w14:paraId="11E5E3B7" w14:textId="77777777" w:rsidTr="007D256B">
        <w:trPr>
          <w:trHeight w:val="397"/>
          <w:jc w:val="center"/>
        </w:trPr>
        <w:tc>
          <w:tcPr>
            <w:tcW w:w="2363" w:type="dxa"/>
            <w:gridSpan w:val="2"/>
            <w:vMerge/>
            <w:vAlign w:val="center"/>
            <w:hideMark/>
          </w:tcPr>
          <w:p w14:paraId="000536B6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466" w:type="dxa"/>
            <w:vMerge/>
            <w:vAlign w:val="center"/>
            <w:hideMark/>
          </w:tcPr>
          <w:p w14:paraId="63108F80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0D5E01DD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TCGA cohort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A7A2CE3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GSE cohort</w:t>
            </w:r>
          </w:p>
        </w:tc>
        <w:tc>
          <w:tcPr>
            <w:tcW w:w="1478" w:type="dxa"/>
            <w:vMerge/>
            <w:vAlign w:val="center"/>
            <w:hideMark/>
          </w:tcPr>
          <w:p w14:paraId="6C18E3BE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130FE8AD" w14:textId="77777777" w:rsidTr="007D256B">
        <w:trPr>
          <w:trHeight w:val="397"/>
          <w:jc w:val="center"/>
        </w:trPr>
        <w:tc>
          <w:tcPr>
            <w:tcW w:w="8296" w:type="dxa"/>
            <w:gridSpan w:val="6"/>
            <w:shd w:val="clear" w:color="auto" w:fill="auto"/>
            <w:noWrap/>
            <w:vAlign w:val="center"/>
            <w:hideMark/>
          </w:tcPr>
          <w:p w14:paraId="3B5DA857" w14:textId="77777777" w:rsidR="004E44F2" w:rsidRPr="005418C4" w:rsidRDefault="004E44F2" w:rsidP="00FA668B">
            <w:pPr>
              <w:widowControl/>
              <w:ind w:firstLineChars="0" w:firstLine="0"/>
              <w:jc w:val="left"/>
              <w:rPr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Age (y</w:t>
            </w:r>
            <w:r w:rsidR="00FA668B">
              <w:rPr>
                <w:rFonts w:eastAsia="等线"/>
                <w:color w:val="000000"/>
                <w:kern w:val="0"/>
              </w:rPr>
              <w:t>r</w:t>
            </w:r>
            <w:r w:rsidRPr="005418C4">
              <w:rPr>
                <w:rFonts w:eastAsia="等线"/>
                <w:color w:val="000000"/>
                <w:kern w:val="0"/>
              </w:rPr>
              <w:t>)</w:t>
            </w:r>
          </w:p>
        </w:tc>
      </w:tr>
      <w:tr w:rsidR="004E44F2" w:rsidRPr="005418C4" w14:paraId="3413AA0A" w14:textId="77777777" w:rsidTr="007D256B">
        <w:trPr>
          <w:trHeight w:val="397"/>
          <w:jc w:val="center"/>
        </w:trPr>
        <w:tc>
          <w:tcPr>
            <w:tcW w:w="421" w:type="dxa"/>
            <w:vMerge w:val="restart"/>
            <w:shd w:val="clear" w:color="auto" w:fill="auto"/>
            <w:noWrap/>
            <w:vAlign w:val="center"/>
          </w:tcPr>
          <w:p w14:paraId="645DEADE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0208456E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≤65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25C4D54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355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(86.4)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7A0F441D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275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(89.0)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36B5110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80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(78.4)</w:t>
            </w:r>
          </w:p>
        </w:tc>
        <w:tc>
          <w:tcPr>
            <w:tcW w:w="1478" w:type="dxa"/>
            <w:vMerge w:val="restart"/>
            <w:shd w:val="clear" w:color="auto" w:fill="auto"/>
            <w:noWrap/>
            <w:vAlign w:val="center"/>
            <w:hideMark/>
          </w:tcPr>
          <w:p w14:paraId="5B5A58F6" w14:textId="76E60D21" w:rsidR="004E44F2" w:rsidRPr="005418C4" w:rsidRDefault="00FB64BD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FB64BD">
              <w:rPr>
                <w:rFonts w:eastAsia="等线"/>
                <w:color w:val="000000"/>
                <w:kern w:val="0"/>
              </w:rPr>
              <w:t>0.026</w:t>
            </w:r>
          </w:p>
        </w:tc>
      </w:tr>
      <w:tr w:rsidR="004E44F2" w:rsidRPr="005418C4" w14:paraId="0EE54C10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716EFED9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4A33B408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>
              <w:rPr>
                <w:rFonts w:eastAsia="等线"/>
                <w:color w:val="000000"/>
                <w:kern w:val="0"/>
              </w:rPr>
              <w:sym w:font="Symbol" w:char="F03E"/>
            </w:r>
            <w:r w:rsidRPr="005418C4">
              <w:rPr>
                <w:rFonts w:eastAsia="等线"/>
                <w:color w:val="000000"/>
                <w:kern w:val="0"/>
              </w:rPr>
              <w:t>65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C8E71A5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56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(13.6)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FAA9F8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34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(11.0)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0FB60C88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22</w:t>
            </w:r>
            <w:r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(21.6)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560B69C3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5D8B3CC0" w14:textId="77777777" w:rsidTr="007D256B">
        <w:trPr>
          <w:trHeight w:val="397"/>
          <w:jc w:val="center"/>
        </w:trPr>
        <w:tc>
          <w:tcPr>
            <w:tcW w:w="8296" w:type="dxa"/>
            <w:gridSpan w:val="6"/>
            <w:shd w:val="clear" w:color="auto" w:fill="auto"/>
            <w:noWrap/>
            <w:vAlign w:val="center"/>
            <w:hideMark/>
          </w:tcPr>
          <w:p w14:paraId="0DA3BCB6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FIGO stage</w:t>
            </w:r>
          </w:p>
        </w:tc>
      </w:tr>
      <w:tr w:rsidR="004E44F2" w:rsidRPr="005418C4" w14:paraId="79E37FD6" w14:textId="77777777" w:rsidTr="007D256B">
        <w:trPr>
          <w:trHeight w:val="397"/>
          <w:jc w:val="center"/>
        </w:trPr>
        <w:tc>
          <w:tcPr>
            <w:tcW w:w="421" w:type="dxa"/>
            <w:vMerge w:val="restart"/>
            <w:shd w:val="clear" w:color="auto" w:fill="auto"/>
            <w:noWrap/>
            <w:vAlign w:val="center"/>
          </w:tcPr>
          <w:p w14:paraId="41A67927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2A829A1F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I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F5F5FA4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220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(53.5)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8E50240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167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(54.0)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4942BD7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53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(52.0)</w:t>
            </w:r>
          </w:p>
        </w:tc>
        <w:tc>
          <w:tcPr>
            <w:tcW w:w="1478" w:type="dxa"/>
            <w:vMerge w:val="restart"/>
            <w:shd w:val="clear" w:color="auto" w:fill="auto"/>
            <w:noWrap/>
            <w:vAlign w:val="center"/>
            <w:hideMark/>
          </w:tcPr>
          <w:p w14:paraId="0362A1BD" w14:textId="77777777" w:rsidR="004E44F2" w:rsidRPr="005418C4" w:rsidRDefault="004E44F2" w:rsidP="004E44F2">
            <w:pPr>
              <w:ind w:firstLine="420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0.073</w:t>
            </w:r>
          </w:p>
        </w:tc>
      </w:tr>
      <w:tr w:rsidR="004E44F2" w:rsidRPr="005418C4" w14:paraId="65AC8979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27AC2D14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134A2751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II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1ED31A1B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89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(21.7)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239D42D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71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(23.0)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31930ED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18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(17.6)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5876EE9B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7878786A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2722C6A4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7C2B59B1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III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61CCC85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76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(18.5)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9DECF7A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49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(15.9)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33CA47E6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27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(26.5)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72350E74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406B2474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40B07983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4D326BEF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IV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2638565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26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(6.3)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F0137CD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22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(7.1)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4CC69195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4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(3.9)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78CBE05C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7D1E90C8" w14:textId="77777777" w:rsidTr="007D256B">
        <w:trPr>
          <w:trHeight w:val="397"/>
          <w:jc w:val="center"/>
        </w:trPr>
        <w:tc>
          <w:tcPr>
            <w:tcW w:w="8296" w:type="dxa"/>
            <w:gridSpan w:val="6"/>
            <w:shd w:val="clear" w:color="auto" w:fill="auto"/>
            <w:noWrap/>
            <w:vAlign w:val="center"/>
            <w:hideMark/>
          </w:tcPr>
          <w:p w14:paraId="696259DE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Grade</w:t>
            </w:r>
          </w:p>
        </w:tc>
      </w:tr>
      <w:tr w:rsidR="004E44F2" w:rsidRPr="005418C4" w14:paraId="33F0593E" w14:textId="77777777" w:rsidTr="007D256B">
        <w:trPr>
          <w:trHeight w:val="397"/>
          <w:jc w:val="center"/>
        </w:trPr>
        <w:tc>
          <w:tcPr>
            <w:tcW w:w="421" w:type="dxa"/>
            <w:vMerge w:val="restart"/>
            <w:shd w:val="clear" w:color="auto" w:fill="auto"/>
            <w:noWrap/>
            <w:vAlign w:val="center"/>
          </w:tcPr>
          <w:p w14:paraId="18A54185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16CF3E58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G1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797843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28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(7.9)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7AB73DEA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21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(6.8)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2CF2C59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7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(14.9)</w:t>
            </w:r>
          </w:p>
        </w:tc>
        <w:tc>
          <w:tcPr>
            <w:tcW w:w="1478" w:type="dxa"/>
            <w:vMerge w:val="restart"/>
            <w:shd w:val="clear" w:color="auto" w:fill="auto"/>
            <w:noWrap/>
            <w:vAlign w:val="center"/>
            <w:hideMark/>
          </w:tcPr>
          <w:p w14:paraId="40E5335D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0.034</w:t>
            </w:r>
          </w:p>
        </w:tc>
      </w:tr>
      <w:tr w:rsidR="004E44F2" w:rsidRPr="005418C4" w14:paraId="6D92D8AF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269C6CED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5A0B8BEC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G2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0803D60C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165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(46.5)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163740C3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138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(44.8)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0BC275E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27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(57.4)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2D3F39A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23ACDEAA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358FB3CD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64F18D9F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G3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21D2F7E9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132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(37.2)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357D75BE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121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(39.3)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91ADA88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11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(23.4)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063E6B73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5AAEF5D7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39E6E8F7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6A8410F6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GX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678BA746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30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(8.5)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739D169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28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(9.1)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6C77DFB0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(4.3)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4DCD5E7E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591B489F" w14:textId="77777777" w:rsidTr="007D256B">
        <w:trPr>
          <w:trHeight w:val="397"/>
          <w:jc w:val="center"/>
        </w:trPr>
        <w:tc>
          <w:tcPr>
            <w:tcW w:w="8296" w:type="dxa"/>
            <w:gridSpan w:val="6"/>
            <w:shd w:val="clear" w:color="auto" w:fill="auto"/>
            <w:noWrap/>
            <w:vAlign w:val="center"/>
            <w:hideMark/>
          </w:tcPr>
          <w:p w14:paraId="051A32CB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Pathology</w:t>
            </w:r>
          </w:p>
        </w:tc>
      </w:tr>
      <w:tr w:rsidR="004E44F2" w:rsidRPr="005418C4" w14:paraId="79C85EB2" w14:textId="77777777" w:rsidTr="007D256B">
        <w:trPr>
          <w:trHeight w:val="397"/>
          <w:jc w:val="center"/>
        </w:trPr>
        <w:tc>
          <w:tcPr>
            <w:tcW w:w="421" w:type="dxa"/>
            <w:vMerge w:val="restart"/>
            <w:shd w:val="clear" w:color="auto" w:fill="auto"/>
            <w:noWrap/>
            <w:vAlign w:val="center"/>
          </w:tcPr>
          <w:p w14:paraId="06BDE26B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3DA3D081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SCC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5082B017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62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(15.1)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40AA4A48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49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(15.9)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5FF08385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13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(12.7)</w:t>
            </w:r>
          </w:p>
        </w:tc>
        <w:tc>
          <w:tcPr>
            <w:tcW w:w="1478" w:type="dxa"/>
            <w:vMerge w:val="restart"/>
            <w:shd w:val="clear" w:color="auto" w:fill="auto"/>
            <w:noWrap/>
            <w:vAlign w:val="center"/>
            <w:hideMark/>
          </w:tcPr>
          <w:p w14:paraId="28F27D94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0.648</w:t>
            </w:r>
          </w:p>
        </w:tc>
      </w:tr>
      <w:tr w:rsidR="004E44F2" w:rsidRPr="005418C4" w14:paraId="07651169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16E5BAE4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063F89C9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ACC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4E958609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8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(1.9)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5943F2F1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6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(1.9)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1ECBE211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(2.0)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0EAC69D7" w14:textId="77777777" w:rsidR="004E44F2" w:rsidRPr="005418C4" w:rsidRDefault="004E44F2" w:rsidP="004E44F2">
            <w:pPr>
              <w:ind w:firstLine="42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  <w:tr w:rsidR="004E44F2" w:rsidRPr="005418C4" w14:paraId="0687D2A8" w14:textId="77777777" w:rsidTr="007D256B">
        <w:trPr>
          <w:trHeight w:val="397"/>
          <w:jc w:val="center"/>
        </w:trPr>
        <w:tc>
          <w:tcPr>
            <w:tcW w:w="421" w:type="dxa"/>
            <w:vMerge/>
            <w:shd w:val="clear" w:color="auto" w:fill="auto"/>
            <w:noWrap/>
            <w:vAlign w:val="center"/>
          </w:tcPr>
          <w:p w14:paraId="4B599461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</w:p>
        </w:tc>
        <w:tc>
          <w:tcPr>
            <w:tcW w:w="1942" w:type="dxa"/>
            <w:vAlign w:val="center"/>
          </w:tcPr>
          <w:p w14:paraId="469E1FA9" w14:textId="77777777" w:rsidR="004E44F2" w:rsidRPr="005418C4" w:rsidRDefault="004E44F2" w:rsidP="004E44F2">
            <w:pPr>
              <w:widowControl/>
              <w:ind w:firstLineChars="0" w:firstLine="0"/>
              <w:jc w:val="left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ASCC</w:t>
            </w:r>
          </w:p>
        </w:tc>
        <w:tc>
          <w:tcPr>
            <w:tcW w:w="1466" w:type="dxa"/>
            <w:shd w:val="clear" w:color="auto" w:fill="auto"/>
            <w:noWrap/>
            <w:vAlign w:val="center"/>
            <w:hideMark/>
          </w:tcPr>
          <w:p w14:paraId="3B3168BE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341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(83.0)</w:t>
            </w:r>
          </w:p>
        </w:tc>
        <w:tc>
          <w:tcPr>
            <w:tcW w:w="1582" w:type="dxa"/>
            <w:shd w:val="clear" w:color="auto" w:fill="auto"/>
            <w:noWrap/>
            <w:vAlign w:val="center"/>
            <w:hideMark/>
          </w:tcPr>
          <w:p w14:paraId="718C0C66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254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(82.2)</w:t>
            </w:r>
          </w:p>
        </w:tc>
        <w:tc>
          <w:tcPr>
            <w:tcW w:w="1407" w:type="dxa"/>
            <w:shd w:val="clear" w:color="auto" w:fill="auto"/>
            <w:noWrap/>
            <w:vAlign w:val="center"/>
            <w:hideMark/>
          </w:tcPr>
          <w:p w14:paraId="24C49AEB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  <w:r w:rsidRPr="005418C4">
              <w:rPr>
                <w:rFonts w:eastAsia="等线"/>
                <w:color w:val="000000"/>
                <w:kern w:val="0"/>
              </w:rPr>
              <w:t>87</w:t>
            </w:r>
            <w:r w:rsidR="00272403">
              <w:rPr>
                <w:rFonts w:eastAsia="等线"/>
                <w:color w:val="000000"/>
                <w:kern w:val="0"/>
              </w:rPr>
              <w:t xml:space="preserve"> </w:t>
            </w:r>
            <w:r w:rsidRPr="005418C4">
              <w:rPr>
                <w:rFonts w:eastAsia="等线"/>
                <w:color w:val="000000"/>
                <w:kern w:val="0"/>
              </w:rPr>
              <w:t>(85.3)</w:t>
            </w:r>
          </w:p>
        </w:tc>
        <w:tc>
          <w:tcPr>
            <w:tcW w:w="1478" w:type="dxa"/>
            <w:vMerge/>
            <w:shd w:val="clear" w:color="auto" w:fill="auto"/>
            <w:noWrap/>
            <w:vAlign w:val="center"/>
            <w:hideMark/>
          </w:tcPr>
          <w:p w14:paraId="2577F892" w14:textId="77777777" w:rsidR="004E44F2" w:rsidRPr="005418C4" w:rsidRDefault="004E44F2" w:rsidP="004E44F2">
            <w:pPr>
              <w:widowControl/>
              <w:ind w:firstLineChars="0" w:firstLine="0"/>
              <w:jc w:val="center"/>
              <w:rPr>
                <w:rFonts w:eastAsia="等线"/>
                <w:color w:val="000000"/>
                <w:kern w:val="0"/>
              </w:rPr>
            </w:pPr>
          </w:p>
        </w:tc>
      </w:tr>
    </w:tbl>
    <w:p w14:paraId="23A933CD" w14:textId="77777777" w:rsidR="00C5774D" w:rsidRDefault="00272403" w:rsidP="00BF0B74">
      <w:pPr>
        <w:pStyle w:val="a4"/>
        <w:rPr>
          <w:rFonts w:eastAsia="等线"/>
        </w:rPr>
      </w:pPr>
      <w:r w:rsidRPr="005418C4">
        <w:rPr>
          <w:rFonts w:eastAsia="等线"/>
        </w:rPr>
        <w:t>ACC, adenocarcinoma; SCC, squamous carcinoma; ASCC, adenosquamous carcinoma; FIGO, The International Federation of Gynecology and Obstetrics; TCGA, The Cancer Genome Atlas; GSE, Gene Expression Omnibus</w:t>
      </w:r>
      <w:r>
        <w:rPr>
          <w:rFonts w:eastAsia="等线"/>
        </w:rPr>
        <w:t>.</w:t>
      </w:r>
    </w:p>
    <w:p w14:paraId="2D34FEDD" w14:textId="77777777" w:rsidR="00EC6B8D" w:rsidRDefault="00EC6B8D" w:rsidP="00C5774D">
      <w:pPr>
        <w:ind w:firstLine="420"/>
        <w:rPr>
          <w:rFonts w:eastAsia="等线"/>
          <w:color w:val="000000"/>
          <w:kern w:val="0"/>
        </w:rPr>
      </w:pPr>
    </w:p>
    <w:p w14:paraId="65223162" w14:textId="77777777" w:rsidR="00EC6B8D" w:rsidRDefault="00EC6B8D" w:rsidP="00C5774D">
      <w:pPr>
        <w:ind w:firstLine="420"/>
        <w:rPr>
          <w:rFonts w:eastAsiaTheme="minorEastAsia"/>
        </w:rPr>
      </w:pPr>
    </w:p>
    <w:p w14:paraId="6BCD7948" w14:textId="77777777" w:rsidR="00FA668B" w:rsidRDefault="00346A9D" w:rsidP="000C47A1">
      <w:pPr>
        <w:ind w:firstLineChars="0" w:firstLine="0"/>
        <w:jc w:val="center"/>
        <w:rPr>
          <w:rFonts w:eastAsiaTheme="minorEastAsia"/>
        </w:rPr>
      </w:pPr>
      <w:r>
        <w:rPr>
          <w:rFonts w:eastAsiaTheme="minorEastAsia" w:hint="eastAsia"/>
          <w:noProof/>
        </w:rPr>
        <w:lastRenderedPageBreak/>
        <w:drawing>
          <wp:inline distT="0" distB="0" distL="0" distR="0" wp14:anchorId="3D11BC75" wp14:editId="6C77B875">
            <wp:extent cx="5383906" cy="2333501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0"/>
                    <a:stretch/>
                  </pic:blipFill>
                  <pic:spPr bwMode="auto">
                    <a:xfrm>
                      <a:off x="0" y="0"/>
                      <a:ext cx="5404408" cy="2342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2A296" w14:textId="77777777" w:rsidR="000C5EEF" w:rsidRPr="00D035FA" w:rsidRDefault="000C5EEF" w:rsidP="00BF0B74">
      <w:pPr>
        <w:pStyle w:val="ae"/>
        <w:rPr>
          <w:b w:val="0"/>
          <w:bCs/>
        </w:rPr>
      </w:pPr>
      <w:r w:rsidRPr="00346A9D">
        <w:t>Supplementary Fig</w:t>
      </w:r>
      <w:r w:rsidR="00346A9D" w:rsidRPr="00346A9D">
        <w:rPr>
          <w:rFonts w:eastAsiaTheme="minorEastAsia"/>
        </w:rPr>
        <w:t>.</w:t>
      </w:r>
      <w:r w:rsidRPr="00346A9D">
        <w:t xml:space="preserve"> 1. Analyses of differentially expressed necroptosis-related genes in cervical cancer.</w:t>
      </w:r>
      <w:r w:rsidRPr="00D035FA">
        <w:rPr>
          <w:b w:val="0"/>
          <w:bCs/>
        </w:rPr>
        <w:t xml:space="preserve"> </w:t>
      </w:r>
      <w:r w:rsidR="00346A9D" w:rsidRPr="00D035FA">
        <w:rPr>
          <w:b w:val="0"/>
          <w:bCs/>
        </w:rPr>
        <w:t xml:space="preserve">(A) Top 35 shared genes were selected </w:t>
      </w:r>
      <w:r w:rsidR="00346A9D" w:rsidRPr="00D035FA">
        <w:rPr>
          <w:b w:val="0"/>
          <w:bCs/>
          <w:i/>
        </w:rPr>
        <w:t>via</w:t>
      </w:r>
      <w:r w:rsidR="00346A9D" w:rsidRPr="00D035FA">
        <w:rPr>
          <w:b w:val="0"/>
          <w:bCs/>
        </w:rPr>
        <w:t xml:space="preserve"> Cytohubba plugin and MCC algorithm. (B) Pearson correlation analysis was performed on these 51 differentially expressed necroptosis-related genes.</w:t>
      </w:r>
    </w:p>
    <w:p w14:paraId="14142FD5" w14:textId="77777777" w:rsidR="000C5EEF" w:rsidRDefault="000C5EEF" w:rsidP="00BF01E8">
      <w:pPr>
        <w:ind w:firstLine="420"/>
      </w:pPr>
    </w:p>
    <w:p w14:paraId="657BC1F6" w14:textId="77777777" w:rsidR="000C47A1" w:rsidRDefault="000C47A1" w:rsidP="000C47A1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drawing>
          <wp:inline distT="0" distB="0" distL="0" distR="0" wp14:anchorId="47EC462E" wp14:editId="4E4D3F48">
            <wp:extent cx="5274310" cy="307570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3"/>
                    <a:stretch/>
                  </pic:blipFill>
                  <pic:spPr bwMode="auto">
                    <a:xfrm>
                      <a:off x="0" y="0"/>
                      <a:ext cx="5274310" cy="307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CF46D" w14:textId="77777777" w:rsidR="000C5EEF" w:rsidRPr="00A33CD1" w:rsidRDefault="000C5EEF" w:rsidP="00BF0B74">
      <w:pPr>
        <w:pStyle w:val="ae"/>
      </w:pPr>
      <w:r w:rsidRPr="00A33CD1">
        <w:t>Supplementary Fig</w:t>
      </w:r>
      <w:r w:rsidR="000C47A1">
        <w:t>.</w:t>
      </w:r>
      <w:r w:rsidRPr="00A33CD1">
        <w:t xml:space="preserve"> 2. Hierarchical clustering showed that there were five necroptosis-related genes expressing distinctly among three clusters.</w:t>
      </w:r>
    </w:p>
    <w:p w14:paraId="6CC9CF50" w14:textId="77777777" w:rsidR="000C5EEF" w:rsidRDefault="000C5EEF" w:rsidP="00FB0114">
      <w:pPr>
        <w:ind w:firstLine="420"/>
      </w:pPr>
    </w:p>
    <w:p w14:paraId="1523287A" w14:textId="77777777" w:rsidR="000C47A1" w:rsidRDefault="000C47A1" w:rsidP="000C47A1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drawing>
          <wp:inline distT="0" distB="0" distL="0" distR="0" wp14:anchorId="04818E91" wp14:editId="7947093E">
            <wp:extent cx="5274310" cy="7095506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3"/>
                    <a:stretch/>
                  </pic:blipFill>
                  <pic:spPr bwMode="auto">
                    <a:xfrm>
                      <a:off x="0" y="0"/>
                      <a:ext cx="5274310" cy="709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47FE7" w14:textId="535AF3B4" w:rsidR="000C5EEF" w:rsidRPr="00044372" w:rsidRDefault="000C5EEF" w:rsidP="00BF0B74">
      <w:pPr>
        <w:pStyle w:val="ae"/>
        <w:rPr>
          <w:b w:val="0"/>
          <w:bCs/>
        </w:rPr>
      </w:pPr>
      <w:r w:rsidRPr="00A33CD1">
        <w:t>Supplementary Fig</w:t>
      </w:r>
      <w:r w:rsidR="00713A5E">
        <w:t>.</w:t>
      </w:r>
      <w:r w:rsidRPr="00A33CD1">
        <w:t xml:space="preserve"> 3. Immune cell infiltration in different clusters.</w:t>
      </w:r>
      <w:r w:rsidRPr="00044372">
        <w:rPr>
          <w:b w:val="0"/>
          <w:bCs/>
        </w:rPr>
        <w:t xml:space="preserve"> </w:t>
      </w:r>
      <w:r w:rsidR="00713A5E" w:rsidRPr="00044372">
        <w:rPr>
          <w:b w:val="0"/>
          <w:bCs/>
        </w:rPr>
        <w:t xml:space="preserve">(A) comparison of tumor mutation burden in three clusters. (B–E) Immunophenoscore (IPS) analyses showed that three clustersdemonstrated no significant difference with regard to IPS, IPS-CTLA4 blocker, IPS-PD1/PDL1/PDL2 and IPS-CTLA4/PD1/PDL1/PDL2 blocker. (F) HLA expression in distinct clusters </w:t>
      </w:r>
      <w:r w:rsidR="00FC6CFE">
        <w:rPr>
          <w:b w:val="0"/>
          <w:bCs/>
        </w:rPr>
        <w:t>is</w:t>
      </w:r>
      <w:r w:rsidR="00713A5E" w:rsidRPr="00044372">
        <w:rPr>
          <w:b w:val="0"/>
          <w:bCs/>
        </w:rPr>
        <w:t xml:space="preserve"> shown.</w:t>
      </w:r>
    </w:p>
    <w:p w14:paraId="4CE421BB" w14:textId="77777777" w:rsidR="000C47A1" w:rsidRPr="00CD3944" w:rsidRDefault="000C47A1" w:rsidP="00CD3944">
      <w:pPr>
        <w:ind w:firstLine="420"/>
        <w:rPr>
          <w:rFonts w:eastAsiaTheme="minorEastAsia"/>
        </w:rPr>
      </w:pPr>
    </w:p>
    <w:p w14:paraId="66EEEFA7" w14:textId="77777777" w:rsidR="000C5EEF" w:rsidRDefault="00713A5E" w:rsidP="00713A5E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 wp14:anchorId="353A950C" wp14:editId="2374BB36">
            <wp:extent cx="5190490" cy="570015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92"/>
                    <a:stretch/>
                  </pic:blipFill>
                  <pic:spPr bwMode="auto">
                    <a:xfrm>
                      <a:off x="0" y="0"/>
                      <a:ext cx="5190744" cy="570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CC902" w14:textId="77777777" w:rsidR="000C5EEF" w:rsidRPr="00C57286" w:rsidRDefault="000C5EEF" w:rsidP="00BF0B74">
      <w:pPr>
        <w:pStyle w:val="ae"/>
        <w:rPr>
          <w:b w:val="0"/>
          <w:bCs/>
        </w:rPr>
      </w:pPr>
      <w:r w:rsidRPr="00A33CD1">
        <w:t>Supplementary Fig</w:t>
      </w:r>
      <w:r w:rsidR="001004DB">
        <w:t>.</w:t>
      </w:r>
      <w:r w:rsidRPr="00A33CD1">
        <w:t xml:space="preserve"> 4.</w:t>
      </w:r>
      <w:r w:rsidR="001004DB">
        <w:t xml:space="preserve"> </w:t>
      </w:r>
      <w:r w:rsidRPr="00A33CD1">
        <w:t>Validation of the NRGscore signature in the external cohort</w:t>
      </w:r>
      <w:r w:rsidR="00713A5E">
        <w:t>.</w:t>
      </w:r>
      <w:r w:rsidR="00713A5E" w:rsidRPr="00C57286">
        <w:rPr>
          <w:b w:val="0"/>
          <w:bCs/>
        </w:rPr>
        <w:t xml:space="preserve"> (A) Survival status map. (B) Risk score rank</w:t>
      </w:r>
      <w:r w:rsidR="001004DB" w:rsidRPr="00C57286">
        <w:rPr>
          <w:b w:val="0"/>
          <w:bCs/>
        </w:rPr>
        <w:t>.</w:t>
      </w:r>
      <w:r w:rsidR="00713A5E" w:rsidRPr="00C57286">
        <w:rPr>
          <w:b w:val="0"/>
          <w:bCs/>
        </w:rPr>
        <w:t xml:space="preserve"> (C) Survival curve</w:t>
      </w:r>
      <w:r w:rsidR="001004DB" w:rsidRPr="00C57286">
        <w:rPr>
          <w:b w:val="0"/>
          <w:bCs/>
        </w:rPr>
        <w:t>.</w:t>
      </w:r>
      <w:r w:rsidR="00713A5E" w:rsidRPr="00C57286">
        <w:rPr>
          <w:b w:val="0"/>
          <w:bCs/>
        </w:rPr>
        <w:t xml:space="preserve"> (D</w:t>
      </w:r>
      <w:r w:rsidR="001004DB" w:rsidRPr="00C57286">
        <w:rPr>
          <w:b w:val="0"/>
          <w:bCs/>
        </w:rPr>
        <w:t>) ROC curvesROC</w:t>
      </w:r>
      <w:r w:rsidR="00713A5E" w:rsidRPr="00C57286">
        <w:rPr>
          <w:b w:val="0"/>
          <w:bCs/>
        </w:rPr>
        <w:t>, re</w:t>
      </w:r>
      <w:r w:rsidR="001004DB" w:rsidRPr="00C57286">
        <w:rPr>
          <w:b w:val="0"/>
          <w:bCs/>
        </w:rPr>
        <w:t>ceiver operating characteristic</w:t>
      </w:r>
      <w:r w:rsidR="00713A5E" w:rsidRPr="00C57286">
        <w:rPr>
          <w:b w:val="0"/>
          <w:bCs/>
        </w:rPr>
        <w:t>.</w:t>
      </w:r>
    </w:p>
    <w:p w14:paraId="23684EC9" w14:textId="77777777" w:rsidR="000C5EEF" w:rsidRDefault="000C5EEF" w:rsidP="00C4563C">
      <w:pPr>
        <w:ind w:firstLine="420"/>
      </w:pPr>
    </w:p>
    <w:p w14:paraId="73A32EA3" w14:textId="77777777" w:rsidR="001004DB" w:rsidRDefault="001A12FB" w:rsidP="001A12FB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drawing>
          <wp:inline distT="0" distB="0" distL="0" distR="0" wp14:anchorId="503ED5E4" wp14:editId="15A06C6A">
            <wp:extent cx="5274310" cy="455418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6"/>
                    <a:stretch/>
                  </pic:blipFill>
                  <pic:spPr bwMode="auto">
                    <a:xfrm>
                      <a:off x="0" y="0"/>
                      <a:ext cx="5274310" cy="455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11734" w14:textId="77777777" w:rsidR="000C5EEF" w:rsidRPr="002124D6" w:rsidRDefault="000C5EEF" w:rsidP="00BF0B74">
      <w:pPr>
        <w:pStyle w:val="ae"/>
        <w:rPr>
          <w:b w:val="0"/>
          <w:bCs/>
        </w:rPr>
      </w:pPr>
      <w:r w:rsidRPr="00A33CD1">
        <w:t>Supplementary Fig</w:t>
      </w:r>
      <w:r w:rsidR="001A12FB">
        <w:t>.</w:t>
      </w:r>
      <w:r w:rsidRPr="00A33CD1">
        <w:t xml:space="preserve"> 5. Stratification analyses of the risk signature in clinicopathological features.</w:t>
      </w:r>
      <w:r w:rsidRPr="002124D6">
        <w:rPr>
          <w:b w:val="0"/>
          <w:bCs/>
        </w:rPr>
        <w:t xml:space="preserve"> </w:t>
      </w:r>
      <w:r w:rsidR="001A12FB" w:rsidRPr="002124D6">
        <w:rPr>
          <w:b w:val="0"/>
          <w:bCs/>
        </w:rPr>
        <w:t>(A,B) In older age (</w:t>
      </w:r>
      <w:r w:rsidR="00A94843" w:rsidRPr="002124D6">
        <w:rPr>
          <w:b w:val="0"/>
          <w:bCs/>
        </w:rPr>
        <w:sym w:font="Symbol" w:char="F03E"/>
      </w:r>
      <w:r w:rsidR="001A12FB" w:rsidRPr="002124D6">
        <w:rPr>
          <w:b w:val="0"/>
          <w:bCs/>
        </w:rPr>
        <w:t>65 years) or younger age (</w:t>
      </w:r>
      <w:r w:rsidR="00A94843" w:rsidRPr="002124D6">
        <w:rPr>
          <w:b w:val="0"/>
          <w:bCs/>
        </w:rPr>
        <w:sym w:font="Symbol" w:char="F0A3"/>
      </w:r>
      <w:r w:rsidR="001A12FB" w:rsidRPr="002124D6">
        <w:rPr>
          <w:b w:val="0"/>
          <w:bCs/>
        </w:rPr>
        <w:t>65 years) patients, we compared their differencesin overall survival rates for high-</w:t>
      </w:r>
      <w:r w:rsidR="00A94843" w:rsidRPr="002124D6">
        <w:rPr>
          <w:b w:val="0"/>
          <w:bCs/>
        </w:rPr>
        <w:t xml:space="preserve"> </w:t>
      </w:r>
      <w:r w:rsidR="001A12FB" w:rsidRPr="002124D6">
        <w:rPr>
          <w:b w:val="0"/>
          <w:bCs/>
        </w:rPr>
        <w:t>and low-risk patients using KM analysis</w:t>
      </w:r>
      <w:r w:rsidR="00A94843" w:rsidRPr="002124D6">
        <w:rPr>
          <w:b w:val="0"/>
          <w:bCs/>
        </w:rPr>
        <w:t>.</w:t>
      </w:r>
      <w:r w:rsidR="001A12FB" w:rsidRPr="002124D6">
        <w:rPr>
          <w:b w:val="0"/>
          <w:bCs/>
        </w:rPr>
        <w:t xml:space="preserve"> (C,D) </w:t>
      </w:r>
      <w:r w:rsidR="00A94843" w:rsidRPr="002124D6">
        <w:rPr>
          <w:b w:val="0"/>
          <w:bCs/>
        </w:rPr>
        <w:t>I</w:t>
      </w:r>
      <w:r w:rsidR="001A12FB" w:rsidRPr="002124D6">
        <w:rPr>
          <w:b w:val="0"/>
          <w:bCs/>
        </w:rPr>
        <w:t>n early stage (I–II) or advanced stage (III–IV</w:t>
      </w:r>
      <w:r w:rsidR="00A94843" w:rsidRPr="002124D6">
        <w:rPr>
          <w:b w:val="0"/>
          <w:bCs/>
        </w:rPr>
        <w:t>) disease</w:t>
      </w:r>
      <w:r w:rsidR="001A12FB" w:rsidRPr="002124D6">
        <w:rPr>
          <w:b w:val="0"/>
          <w:bCs/>
        </w:rPr>
        <w:t>, we compared their differences in overall survival rates for</w:t>
      </w:r>
      <w:r w:rsidR="00903AEF" w:rsidRPr="002124D6">
        <w:rPr>
          <w:b w:val="0"/>
          <w:bCs/>
        </w:rPr>
        <w:t xml:space="preserve"> </w:t>
      </w:r>
      <w:r w:rsidR="001A12FB" w:rsidRPr="002124D6">
        <w:rPr>
          <w:b w:val="0"/>
          <w:bCs/>
        </w:rPr>
        <w:t>high-</w:t>
      </w:r>
      <w:r w:rsidR="00903AEF" w:rsidRPr="002124D6">
        <w:rPr>
          <w:b w:val="0"/>
          <w:bCs/>
        </w:rPr>
        <w:t xml:space="preserve"> </w:t>
      </w:r>
      <w:r w:rsidR="001A12FB" w:rsidRPr="002124D6">
        <w:rPr>
          <w:b w:val="0"/>
          <w:bCs/>
        </w:rPr>
        <w:t>and low-</w:t>
      </w:r>
      <w:r w:rsidR="00903AEF" w:rsidRPr="002124D6">
        <w:rPr>
          <w:b w:val="0"/>
          <w:bCs/>
        </w:rPr>
        <w:t>r</w:t>
      </w:r>
      <w:r w:rsidR="001A12FB" w:rsidRPr="002124D6">
        <w:rPr>
          <w:b w:val="0"/>
          <w:bCs/>
        </w:rPr>
        <w:t>isk patients using KM analysis</w:t>
      </w:r>
      <w:r w:rsidR="00A94843" w:rsidRPr="002124D6">
        <w:rPr>
          <w:b w:val="0"/>
          <w:bCs/>
        </w:rPr>
        <w:t>.</w:t>
      </w:r>
      <w:r w:rsidR="001A12FB" w:rsidRPr="002124D6">
        <w:rPr>
          <w:b w:val="0"/>
          <w:bCs/>
        </w:rPr>
        <w:t xml:space="preserve"> (</w:t>
      </w:r>
      <w:r w:rsidR="00A94843" w:rsidRPr="002124D6">
        <w:rPr>
          <w:b w:val="0"/>
          <w:bCs/>
        </w:rPr>
        <w:t>E,F</w:t>
      </w:r>
      <w:r w:rsidR="001A12FB" w:rsidRPr="002124D6">
        <w:rPr>
          <w:b w:val="0"/>
          <w:bCs/>
        </w:rPr>
        <w:t xml:space="preserve">) </w:t>
      </w:r>
      <w:r w:rsidR="00A94843" w:rsidRPr="002124D6">
        <w:rPr>
          <w:b w:val="0"/>
          <w:bCs/>
        </w:rPr>
        <w:t>I</w:t>
      </w:r>
      <w:r w:rsidR="001A12FB" w:rsidRPr="002124D6">
        <w:rPr>
          <w:b w:val="0"/>
          <w:bCs/>
        </w:rPr>
        <w:t>n low grade (</w:t>
      </w:r>
      <w:r w:rsidR="00A94843" w:rsidRPr="002124D6">
        <w:rPr>
          <w:b w:val="0"/>
          <w:bCs/>
        </w:rPr>
        <w:t>G1–G2</w:t>
      </w:r>
      <w:r w:rsidR="001A12FB" w:rsidRPr="002124D6">
        <w:rPr>
          <w:b w:val="0"/>
          <w:bCs/>
        </w:rPr>
        <w:t>) or h</w:t>
      </w:r>
      <w:r w:rsidR="00A94843" w:rsidRPr="002124D6">
        <w:rPr>
          <w:b w:val="0"/>
          <w:bCs/>
        </w:rPr>
        <w:t xml:space="preserve">igh grade (G3), </w:t>
      </w:r>
      <w:r w:rsidR="001A12FB" w:rsidRPr="002124D6">
        <w:rPr>
          <w:b w:val="0"/>
          <w:bCs/>
        </w:rPr>
        <w:t>we compared their differences in overall survival rates for high- and low-risk patients using</w:t>
      </w:r>
      <w:r w:rsidR="00A94843" w:rsidRPr="002124D6">
        <w:rPr>
          <w:b w:val="0"/>
          <w:bCs/>
        </w:rPr>
        <w:t xml:space="preserve"> </w:t>
      </w:r>
      <w:r w:rsidR="001A12FB" w:rsidRPr="002124D6">
        <w:rPr>
          <w:b w:val="0"/>
          <w:bCs/>
        </w:rPr>
        <w:t>KM analysis</w:t>
      </w:r>
      <w:r w:rsidR="00A94843" w:rsidRPr="002124D6">
        <w:rPr>
          <w:b w:val="0"/>
          <w:bCs/>
        </w:rPr>
        <w:t>.</w:t>
      </w:r>
      <w:r w:rsidR="001A12FB" w:rsidRPr="002124D6">
        <w:rPr>
          <w:b w:val="0"/>
          <w:bCs/>
        </w:rPr>
        <w:t xml:space="preserve"> (</w:t>
      </w:r>
      <w:r w:rsidR="00A94843" w:rsidRPr="002124D6">
        <w:rPr>
          <w:b w:val="0"/>
          <w:bCs/>
        </w:rPr>
        <w:t>G,H</w:t>
      </w:r>
      <w:r w:rsidR="001A12FB" w:rsidRPr="002124D6">
        <w:rPr>
          <w:b w:val="0"/>
          <w:bCs/>
        </w:rPr>
        <w:t>) I</w:t>
      </w:r>
      <w:r w:rsidR="00A94843" w:rsidRPr="002124D6">
        <w:rPr>
          <w:b w:val="0"/>
          <w:bCs/>
        </w:rPr>
        <w:t>n cervical adenocarcinoma (ACC) or squamous cell carcinoma (SCC</w:t>
      </w:r>
      <w:r w:rsidR="001A12FB" w:rsidRPr="002124D6">
        <w:rPr>
          <w:b w:val="0"/>
          <w:bCs/>
        </w:rPr>
        <w:t>).</w:t>
      </w:r>
    </w:p>
    <w:p w14:paraId="1A2406A0" w14:textId="77777777" w:rsidR="000C5EEF" w:rsidRDefault="000C5EEF" w:rsidP="000C5EEF">
      <w:pPr>
        <w:pStyle w:val="EndNoteBibliography"/>
        <w:ind w:left="480" w:firstLine="480"/>
        <w:jc w:val="left"/>
        <w:rPr>
          <w:rFonts w:ascii="Times New Roman" w:hAnsi="Times New Roman"/>
          <w:sz w:val="24"/>
          <w:szCs w:val="24"/>
        </w:rPr>
      </w:pPr>
    </w:p>
    <w:p w14:paraId="731EEEB4" w14:textId="77777777" w:rsidR="00903AEF" w:rsidRDefault="00903AEF" w:rsidP="00903AEF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drawing>
          <wp:inline distT="0" distB="0" distL="0" distR="0" wp14:anchorId="466BD727" wp14:editId="3229D94C">
            <wp:extent cx="5274310" cy="7475517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7"/>
                    <a:stretch/>
                  </pic:blipFill>
                  <pic:spPr bwMode="auto">
                    <a:xfrm>
                      <a:off x="0" y="0"/>
                      <a:ext cx="5274310" cy="747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73A5" w14:textId="77777777" w:rsidR="000C5EEF" w:rsidRPr="00D02764" w:rsidRDefault="000C5EEF" w:rsidP="00BF0B74">
      <w:pPr>
        <w:pStyle w:val="ae"/>
        <w:rPr>
          <w:b w:val="0"/>
          <w:bCs/>
        </w:rPr>
      </w:pPr>
      <w:r w:rsidRPr="00A33CD1">
        <w:t>Supplementary Fig</w:t>
      </w:r>
      <w:r w:rsidR="00903AEF">
        <w:t>.</w:t>
      </w:r>
      <w:r w:rsidRPr="00A33CD1">
        <w:t xml:space="preserve"> 6. Immune cell infiltration in high- and low-risk groups.</w:t>
      </w:r>
      <w:r w:rsidRPr="00D02764">
        <w:rPr>
          <w:b w:val="0"/>
          <w:bCs/>
        </w:rPr>
        <w:t xml:space="preserve"> </w:t>
      </w:r>
      <w:r w:rsidR="00903AEF" w:rsidRPr="00D02764">
        <w:rPr>
          <w:b w:val="0"/>
          <w:bCs/>
        </w:rPr>
        <w:t>(A) ssGSEA algorithm to verify distinct infiltration degrees of immune cell types and immune-related functions in high-and low-risk groups. (B) Spearman correlation analyses were conducted to assess the relationship between the risk score and infiltration immune cells. (C–E) The infiltration degree of (C) CD8+ T cells, (D) mast cells resting, and (E) Tregs correlated positively with prognosis.</w:t>
      </w:r>
    </w:p>
    <w:p w14:paraId="1EC3753D" w14:textId="77777777" w:rsidR="00B603DA" w:rsidRDefault="00B603DA" w:rsidP="000A5A39">
      <w:pPr>
        <w:ind w:firstLine="420"/>
      </w:pPr>
    </w:p>
    <w:p w14:paraId="324C992F" w14:textId="77777777" w:rsidR="003152A3" w:rsidRDefault="003152A3" w:rsidP="003152A3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drawing>
          <wp:inline distT="0" distB="0" distL="0" distR="0" wp14:anchorId="0A820231" wp14:editId="389AD384">
            <wp:extent cx="5596842" cy="1751611"/>
            <wp:effectExtent l="0" t="0" r="444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6"/>
                    <a:stretch/>
                  </pic:blipFill>
                  <pic:spPr bwMode="auto">
                    <a:xfrm>
                      <a:off x="0" y="0"/>
                      <a:ext cx="5602530" cy="175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D7E69" w14:textId="77777777" w:rsidR="000C5EEF" w:rsidRPr="00A33CD1" w:rsidRDefault="000C5EEF" w:rsidP="00BF0B74">
      <w:pPr>
        <w:pStyle w:val="ae"/>
      </w:pPr>
      <w:r w:rsidRPr="00A33CD1">
        <w:t>Supplementary Fig</w:t>
      </w:r>
      <w:r w:rsidR="003152A3">
        <w:t xml:space="preserve">. </w:t>
      </w:r>
      <w:r w:rsidRPr="00A33CD1">
        <w:t>7. Amplification was the most common type of mutation, followed by deep deletion.</w:t>
      </w:r>
    </w:p>
    <w:p w14:paraId="18074FEC" w14:textId="77777777" w:rsidR="000C5EEF" w:rsidRDefault="000C5EEF" w:rsidP="000C5EEF">
      <w:pPr>
        <w:pStyle w:val="EndNoteBibliography"/>
        <w:ind w:left="480" w:firstLine="480"/>
        <w:jc w:val="left"/>
        <w:rPr>
          <w:rFonts w:ascii="Times New Roman" w:hAnsi="Times New Roman"/>
          <w:sz w:val="24"/>
          <w:szCs w:val="24"/>
        </w:rPr>
      </w:pPr>
    </w:p>
    <w:p w14:paraId="6B91D90A" w14:textId="77777777" w:rsidR="003152A3" w:rsidRDefault="003152A3" w:rsidP="003152A3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drawing>
          <wp:inline distT="0" distB="0" distL="0" distR="0" wp14:anchorId="26B12DE5" wp14:editId="366614BB">
            <wp:extent cx="5112327" cy="29179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9"/>
                    <a:stretch/>
                  </pic:blipFill>
                  <pic:spPr bwMode="auto">
                    <a:xfrm>
                      <a:off x="0" y="0"/>
                      <a:ext cx="5129769" cy="292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03956" w14:textId="77777777" w:rsidR="000C5EEF" w:rsidRPr="00A33CD1" w:rsidRDefault="000C5EEF" w:rsidP="00BF0B74">
      <w:pPr>
        <w:pStyle w:val="ae"/>
      </w:pPr>
      <w:r w:rsidRPr="00A33CD1">
        <w:t>Supplementary Fig</w:t>
      </w:r>
      <w:r w:rsidR="003152A3">
        <w:t>.</w:t>
      </w:r>
      <w:r w:rsidRPr="00A33CD1">
        <w:t xml:space="preserve"> 8. Copy number variants (CNVs) pattern of the necroptosis-related genes.</w:t>
      </w:r>
    </w:p>
    <w:p w14:paraId="1BE476E1" w14:textId="77777777" w:rsidR="000C5EEF" w:rsidRDefault="000C5EEF" w:rsidP="000C5EEF">
      <w:pPr>
        <w:pStyle w:val="EndNoteBibliography"/>
        <w:ind w:left="480" w:firstLine="480"/>
        <w:jc w:val="left"/>
        <w:rPr>
          <w:rFonts w:ascii="Times New Roman" w:hAnsi="Times New Roman"/>
          <w:sz w:val="24"/>
          <w:szCs w:val="24"/>
        </w:rPr>
      </w:pPr>
    </w:p>
    <w:p w14:paraId="26B15907" w14:textId="77777777" w:rsidR="003152A3" w:rsidRDefault="003152A3" w:rsidP="003152A3">
      <w:pPr>
        <w:pStyle w:val="EndNoteBibliography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drawing>
          <wp:inline distT="0" distB="0" distL="0" distR="0" wp14:anchorId="3B7B1483" wp14:editId="7BCEC6EB">
            <wp:extent cx="5633800" cy="2866748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58"/>
                    <a:stretch/>
                  </pic:blipFill>
                  <pic:spPr bwMode="auto">
                    <a:xfrm>
                      <a:off x="0" y="0"/>
                      <a:ext cx="5639087" cy="286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1195C" w14:textId="77777777" w:rsidR="000C5EEF" w:rsidRPr="00F136FC" w:rsidRDefault="000C5EEF" w:rsidP="00BF0B74">
      <w:pPr>
        <w:pStyle w:val="ae"/>
        <w:rPr>
          <w:b w:val="0"/>
          <w:bCs/>
        </w:rPr>
      </w:pPr>
      <w:r w:rsidRPr="00A33CD1">
        <w:t>Supplementary Fig</w:t>
      </w:r>
      <w:r w:rsidR="0015677C">
        <w:t>.</w:t>
      </w:r>
      <w:r w:rsidRPr="00A33CD1">
        <w:t xml:space="preserve"> 9. Evaluation of the cervical cancer patients response to immunotherapy. </w:t>
      </w:r>
      <w:r w:rsidR="0015677C" w:rsidRPr="00F136FC">
        <w:rPr>
          <w:b w:val="0"/>
          <w:bCs/>
        </w:rPr>
        <w:lastRenderedPageBreak/>
        <w:t>(A) Immunophenoscore (IPS) analyses showed there were no significant difference with regard to IPS, IPS-CTLA4 blocker, IPS-PD1/PDL1/PDL2, and IPS-CTLA4/PDL/PDL1/PDL2 blocker between high-and low-risk groups. (B) Comparison of stemness in different groups. (C) Comparison of tumor mutation burden in comparison groups. (D) Comparison of tumor neoantigen burden (TNB) in companson groups.</w:t>
      </w:r>
    </w:p>
    <w:p w14:paraId="3126EAFD" w14:textId="77777777" w:rsidR="00EC6B8D" w:rsidRPr="000C5EEF" w:rsidRDefault="00EC6B8D" w:rsidP="00404D7B">
      <w:pPr>
        <w:ind w:firstLine="420"/>
        <w:rPr>
          <w:rFonts w:eastAsiaTheme="minorEastAsia"/>
        </w:rPr>
      </w:pPr>
    </w:p>
    <w:sectPr w:rsidR="00EC6B8D" w:rsidRPr="000C5EEF" w:rsidSect="00C577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283" w:footer="1134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6B8E5" w14:textId="77777777" w:rsidR="00C5774D" w:rsidRDefault="00C5774D" w:rsidP="00C5774D">
      <w:pPr>
        <w:ind w:firstLine="420"/>
      </w:pPr>
      <w:r>
        <w:separator/>
      </w:r>
    </w:p>
  </w:endnote>
  <w:endnote w:type="continuationSeparator" w:id="0">
    <w:p w14:paraId="090CCCBA" w14:textId="77777777" w:rsidR="00C5774D" w:rsidRDefault="00C5774D" w:rsidP="00C5774D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7BC18" w14:textId="77777777" w:rsidR="00C5774D" w:rsidRDefault="00C5774D">
    <w:pPr>
      <w:pStyle w:val="af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6597473"/>
      <w:docPartObj>
        <w:docPartGallery w:val="Page Numbers (Bottom of Page)"/>
        <w:docPartUnique/>
      </w:docPartObj>
    </w:sdtPr>
    <w:sdtEndPr/>
    <w:sdtContent>
      <w:p w14:paraId="4EF064C6" w14:textId="77777777" w:rsidR="00FA668B" w:rsidRDefault="00FA668B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77C" w:rsidRPr="0015677C">
          <w:rPr>
            <w:noProof/>
            <w:lang w:val="zh-CN"/>
          </w:rPr>
          <w:t>7</w:t>
        </w:r>
        <w:r>
          <w:fldChar w:fldCharType="end"/>
        </w:r>
      </w:p>
    </w:sdtContent>
  </w:sdt>
  <w:p w14:paraId="7756CE60" w14:textId="77777777" w:rsidR="00C5774D" w:rsidRDefault="00C5774D">
    <w:pPr>
      <w:pStyle w:val="af4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592401"/>
      <w:docPartObj>
        <w:docPartGallery w:val="Page Numbers (Bottom of Page)"/>
        <w:docPartUnique/>
      </w:docPartObj>
    </w:sdtPr>
    <w:sdtEndPr/>
    <w:sdtContent>
      <w:p w14:paraId="00074F3B" w14:textId="77777777" w:rsidR="00C5774D" w:rsidRDefault="00C5774D">
        <w:pPr>
          <w:pStyle w:val="af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77C" w:rsidRPr="0015677C">
          <w:rPr>
            <w:noProof/>
            <w:lang w:val="zh-CN"/>
          </w:rPr>
          <w:t>1</w:t>
        </w:r>
        <w:r>
          <w:fldChar w:fldCharType="end"/>
        </w:r>
      </w:p>
    </w:sdtContent>
  </w:sdt>
  <w:p w14:paraId="33772E7A" w14:textId="77777777" w:rsidR="00C5774D" w:rsidRDefault="00C5774D">
    <w:pPr>
      <w:pStyle w:val="af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223B3" w14:textId="77777777" w:rsidR="00C5774D" w:rsidRDefault="00C5774D" w:rsidP="00C5774D">
      <w:pPr>
        <w:ind w:firstLine="420"/>
      </w:pPr>
      <w:r>
        <w:separator/>
      </w:r>
    </w:p>
  </w:footnote>
  <w:footnote w:type="continuationSeparator" w:id="0">
    <w:p w14:paraId="0043FCC5" w14:textId="77777777" w:rsidR="00C5774D" w:rsidRDefault="00C5774D" w:rsidP="00C5774D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23D72" w14:textId="77777777" w:rsidR="00C5774D" w:rsidRDefault="00C5774D">
    <w:pPr>
      <w:pStyle w:val="af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5F35F" w14:textId="77777777" w:rsidR="00C5774D" w:rsidRDefault="00C5774D" w:rsidP="00FA668B">
    <w:pPr>
      <w:pStyle w:val="af6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81A53" w14:textId="77777777" w:rsidR="00C5774D" w:rsidRDefault="00C5774D" w:rsidP="00C5774D">
    <w:pPr>
      <w:pStyle w:val="af6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9520742E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B8A"/>
    <w:rsid w:val="00044372"/>
    <w:rsid w:val="000A5A39"/>
    <w:rsid w:val="000C47A1"/>
    <w:rsid w:val="000C5EEF"/>
    <w:rsid w:val="001004DB"/>
    <w:rsid w:val="0015677C"/>
    <w:rsid w:val="001A12FB"/>
    <w:rsid w:val="001D7CDA"/>
    <w:rsid w:val="002124D6"/>
    <w:rsid w:val="00272403"/>
    <w:rsid w:val="003152A3"/>
    <w:rsid w:val="00346A9D"/>
    <w:rsid w:val="003C1695"/>
    <w:rsid w:val="003D222B"/>
    <w:rsid w:val="00404D7B"/>
    <w:rsid w:val="00452B8A"/>
    <w:rsid w:val="004E44F2"/>
    <w:rsid w:val="005418C4"/>
    <w:rsid w:val="00547AE9"/>
    <w:rsid w:val="00713A5E"/>
    <w:rsid w:val="007154F0"/>
    <w:rsid w:val="007A7C40"/>
    <w:rsid w:val="007D256B"/>
    <w:rsid w:val="00903AEF"/>
    <w:rsid w:val="00924E36"/>
    <w:rsid w:val="00A94843"/>
    <w:rsid w:val="00B237DE"/>
    <w:rsid w:val="00B603DA"/>
    <w:rsid w:val="00BF01E8"/>
    <w:rsid w:val="00BF0B74"/>
    <w:rsid w:val="00C4563C"/>
    <w:rsid w:val="00C57286"/>
    <w:rsid w:val="00C5774D"/>
    <w:rsid w:val="00C963C7"/>
    <w:rsid w:val="00CD3944"/>
    <w:rsid w:val="00D012FC"/>
    <w:rsid w:val="00D02764"/>
    <w:rsid w:val="00D035FA"/>
    <w:rsid w:val="00D14CA3"/>
    <w:rsid w:val="00EC6B8D"/>
    <w:rsid w:val="00F136FC"/>
    <w:rsid w:val="00FA668B"/>
    <w:rsid w:val="00FB0114"/>
    <w:rsid w:val="00FB64BD"/>
    <w:rsid w:val="00FC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B72E1"/>
  <w15:chartTrackingRefBased/>
  <w15:docId w15:val="{6B6ED769-9F21-4F10-8479-677D9D6CE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695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3C1695"/>
    <w:pPr>
      <w:autoSpaceDE w:val="0"/>
      <w:autoSpaceDN w:val="0"/>
      <w:adjustRightInd w:val="0"/>
      <w:spacing w:beforeLines="100" w:before="312" w:afterLines="100" w:after="312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3C1695"/>
    <w:pPr>
      <w:keepNext/>
      <w:keepLines/>
      <w:spacing w:beforeLines="50" w:before="156" w:afterLines="50" w:after="156"/>
      <w:ind w:firstLineChars="0" w:firstLine="0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3C1695"/>
    <w:pPr>
      <w:keepNext/>
      <w:keepLines/>
      <w:spacing w:beforeLines="50" w:before="156" w:afterLines="50" w:after="156"/>
      <w:ind w:firstLineChars="0" w:firstLine="0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3C1695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C169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C1695"/>
    <w:pPr>
      <w:keepNext/>
      <w:keepLines/>
      <w:numPr>
        <w:ilvl w:val="5"/>
        <w:numId w:val="4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3C1695"/>
    <w:pPr>
      <w:keepNext/>
      <w:keepLines/>
      <w:numPr>
        <w:ilvl w:val="6"/>
        <w:numId w:val="4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C1695"/>
    <w:pPr>
      <w:keepNext/>
      <w:keepLines/>
      <w:numPr>
        <w:ilvl w:val="7"/>
        <w:numId w:val="4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695"/>
    <w:pPr>
      <w:keepNext/>
      <w:keepLines/>
      <w:numPr>
        <w:ilvl w:val="8"/>
        <w:numId w:val="4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一级标题 字符"/>
    <w:link w:val="1"/>
    <w:uiPriority w:val="1"/>
    <w:rsid w:val="003C1695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3C1695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3C1695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3C1695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3C169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3C1695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3C169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3C1695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3C1695"/>
    <w:rPr>
      <w:rFonts w:ascii="等线 Light" w:eastAsia="等线 Light" w:hAnsi="等线 Light" w:cs="Times New Roman"/>
      <w:szCs w:val="21"/>
    </w:rPr>
  </w:style>
  <w:style w:type="paragraph" w:customStyle="1" w:styleId="a3">
    <w:name w:val="表题"/>
    <w:basedOn w:val="a"/>
    <w:autoRedefine/>
    <w:qFormat/>
    <w:rsid w:val="003D222B"/>
    <w:pPr>
      <w:spacing w:beforeLines="100" w:before="312" w:afterLines="100" w:after="312" w:line="360" w:lineRule="auto"/>
      <w:ind w:firstLineChars="0" w:firstLine="0"/>
      <w:jc w:val="center"/>
    </w:pPr>
    <w:rPr>
      <w:b/>
    </w:rPr>
  </w:style>
  <w:style w:type="paragraph" w:customStyle="1" w:styleId="a4">
    <w:name w:val="表注"/>
    <w:basedOn w:val="a3"/>
    <w:autoRedefine/>
    <w:qFormat/>
    <w:rsid w:val="00BF0B74"/>
    <w:pPr>
      <w:adjustRightInd w:val="0"/>
      <w:snapToGrid w:val="0"/>
      <w:spacing w:beforeLines="0" w:before="0" w:afterLines="0" w:after="0" w:line="240" w:lineRule="auto"/>
      <w:jc w:val="both"/>
    </w:pPr>
    <w:rPr>
      <w:b w:val="0"/>
    </w:rPr>
  </w:style>
  <w:style w:type="paragraph" w:customStyle="1" w:styleId="a5">
    <w:name w:val="参考文献"/>
    <w:basedOn w:val="a"/>
    <w:autoRedefine/>
    <w:qFormat/>
    <w:rsid w:val="003C1695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6">
    <w:name w:val="稿件类型"/>
    <w:basedOn w:val="a"/>
    <w:autoRedefine/>
    <w:qFormat/>
    <w:rsid w:val="003C1695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7">
    <w:name w:val="关键词"/>
    <w:basedOn w:val="a"/>
    <w:autoRedefine/>
    <w:qFormat/>
    <w:rsid w:val="003C1695"/>
    <w:pPr>
      <w:ind w:firstLineChars="0" w:firstLine="0"/>
    </w:pPr>
    <w:rPr>
      <w:noProof/>
    </w:rPr>
  </w:style>
  <w:style w:type="character" w:styleId="a8">
    <w:name w:val="line number"/>
    <w:uiPriority w:val="99"/>
    <w:semiHidden/>
    <w:unhideWhenUsed/>
    <w:rsid w:val="003C1695"/>
  </w:style>
  <w:style w:type="paragraph" w:customStyle="1" w:styleId="a9">
    <w:name w:val="机构信息"/>
    <w:basedOn w:val="a"/>
    <w:link w:val="aa"/>
    <w:autoRedefine/>
    <w:qFormat/>
    <w:rsid w:val="003C1695"/>
    <w:pPr>
      <w:ind w:firstLineChars="0" w:firstLine="0"/>
    </w:pPr>
    <w:rPr>
      <w:i/>
    </w:rPr>
  </w:style>
  <w:style w:type="character" w:customStyle="1" w:styleId="aa">
    <w:name w:val="机构信息 字符"/>
    <w:link w:val="a9"/>
    <w:rsid w:val="003C1695"/>
    <w:rPr>
      <w:rFonts w:ascii="Times New Roman" w:eastAsia="Times New Roman" w:hAnsi="Times New Roman" w:cs="Times New Roman"/>
      <w:i/>
      <w:szCs w:val="21"/>
    </w:rPr>
  </w:style>
  <w:style w:type="paragraph" w:customStyle="1" w:styleId="ab">
    <w:name w:val="接收日期"/>
    <w:basedOn w:val="a"/>
    <w:autoRedefine/>
    <w:qFormat/>
    <w:rsid w:val="003C1695"/>
    <w:pPr>
      <w:ind w:firstLineChars="0" w:firstLine="0"/>
    </w:pPr>
  </w:style>
  <w:style w:type="paragraph" w:styleId="ac">
    <w:name w:val="Normal (Web)"/>
    <w:basedOn w:val="a"/>
    <w:uiPriority w:val="99"/>
    <w:unhideWhenUsed/>
    <w:rsid w:val="003C1695"/>
    <w:pPr>
      <w:spacing w:before="100" w:beforeAutospacing="1" w:after="100" w:afterAutospacing="1"/>
    </w:pPr>
    <w:rPr>
      <w:lang w:eastAsia="en-US"/>
    </w:rPr>
  </w:style>
  <w:style w:type="paragraph" w:customStyle="1" w:styleId="ad">
    <w:name w:val="通讯作者"/>
    <w:basedOn w:val="a"/>
    <w:autoRedefine/>
    <w:qFormat/>
    <w:rsid w:val="003C1695"/>
    <w:pPr>
      <w:ind w:firstLineChars="0" w:firstLine="0"/>
    </w:pPr>
  </w:style>
  <w:style w:type="paragraph" w:customStyle="1" w:styleId="ae">
    <w:name w:val="图注"/>
    <w:basedOn w:val="a4"/>
    <w:autoRedefine/>
    <w:qFormat/>
    <w:rsid w:val="00346A9D"/>
    <w:rPr>
      <w:b/>
    </w:rPr>
  </w:style>
  <w:style w:type="table" w:styleId="af">
    <w:name w:val="Table Grid"/>
    <w:basedOn w:val="a1"/>
    <w:uiPriority w:val="59"/>
    <w:qFormat/>
    <w:rsid w:val="003C1695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文章标题"/>
    <w:basedOn w:val="a"/>
    <w:link w:val="af1"/>
    <w:autoRedefine/>
    <w:qFormat/>
    <w:rsid w:val="00C5774D"/>
    <w:pPr>
      <w:kinsoku w:val="0"/>
      <w:overflowPunct w:val="0"/>
      <w:autoSpaceDE w:val="0"/>
      <w:autoSpaceDN w:val="0"/>
      <w:adjustRightInd w:val="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1">
    <w:name w:val="文章标题 字符"/>
    <w:link w:val="af0"/>
    <w:rsid w:val="00C5774D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2">
    <w:name w:val="文章内容"/>
    <w:basedOn w:val="a"/>
    <w:link w:val="af3"/>
    <w:autoRedefine/>
    <w:rsid w:val="003C1695"/>
    <w:pPr>
      <w:ind w:firstLine="420"/>
    </w:pPr>
    <w:rPr>
      <w:color w:val="000000"/>
    </w:rPr>
  </w:style>
  <w:style w:type="character" w:customStyle="1" w:styleId="af3">
    <w:name w:val="文章内容 字符"/>
    <w:link w:val="af2"/>
    <w:rsid w:val="003C1695"/>
    <w:rPr>
      <w:rFonts w:ascii="Times New Roman" w:eastAsia="Times New Roman" w:hAnsi="Times New Roman" w:cs="Times New Roman"/>
      <w:color w:val="000000"/>
      <w:szCs w:val="21"/>
    </w:rPr>
  </w:style>
  <w:style w:type="paragraph" w:styleId="af4">
    <w:name w:val="footer"/>
    <w:basedOn w:val="a"/>
    <w:link w:val="af5"/>
    <w:uiPriority w:val="99"/>
    <w:unhideWhenUsed/>
    <w:rsid w:val="003C16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link w:val="af4"/>
    <w:uiPriority w:val="99"/>
    <w:rsid w:val="003C1695"/>
    <w:rPr>
      <w:rFonts w:ascii="Times New Roman" w:eastAsia="Times New Roman" w:hAnsi="Times New Roman" w:cs="Times New Roman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3C1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7">
    <w:name w:val="页眉 字符"/>
    <w:link w:val="af6"/>
    <w:uiPriority w:val="99"/>
    <w:rsid w:val="003C1695"/>
    <w:rPr>
      <w:rFonts w:ascii="Times New Roman" w:eastAsia="Times New Roman" w:hAnsi="Times New Roman" w:cs="Times New Roman"/>
      <w:sz w:val="18"/>
      <w:szCs w:val="18"/>
    </w:rPr>
  </w:style>
  <w:style w:type="paragraph" w:customStyle="1" w:styleId="af8">
    <w:name w:val="摘要"/>
    <w:basedOn w:val="a"/>
    <w:autoRedefine/>
    <w:qFormat/>
    <w:rsid w:val="003C1695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3C1695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3C1695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3C1695"/>
    <w:rPr>
      <w:rFonts w:ascii="Times New Roman" w:eastAsia="Times New Roman" w:hAnsi="Times New Roman" w:cs="Times New Roman"/>
      <w:kern w:val="0"/>
      <w:szCs w:val="21"/>
    </w:rPr>
  </w:style>
  <w:style w:type="paragraph" w:customStyle="1" w:styleId="afc">
    <w:name w:val="致谢部分"/>
    <w:basedOn w:val="afa"/>
    <w:link w:val="afd"/>
    <w:autoRedefine/>
    <w:qFormat/>
    <w:rsid w:val="003C1695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3C1695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e">
    <w:name w:val="作者信息"/>
    <w:basedOn w:val="a"/>
    <w:autoRedefine/>
    <w:qFormat/>
    <w:rsid w:val="003C1695"/>
    <w:pPr>
      <w:ind w:firstLineChars="0" w:firstLine="0"/>
    </w:pPr>
  </w:style>
  <w:style w:type="paragraph" w:customStyle="1" w:styleId="EndNoteBibliography">
    <w:name w:val="EndNote Bibliography"/>
    <w:basedOn w:val="a"/>
    <w:link w:val="EndNoteBibliography0"/>
    <w:rsid w:val="00C5774D"/>
    <w:rPr>
      <w:rFonts w:ascii="等线" w:eastAsia="等线" w:hAnsi="等线"/>
      <w:noProof/>
      <w:sz w:val="20"/>
      <w:szCs w:val="22"/>
    </w:rPr>
  </w:style>
  <w:style w:type="character" w:customStyle="1" w:styleId="EndNoteBibliography0">
    <w:name w:val="EndNote Bibliography 字符"/>
    <w:basedOn w:val="a0"/>
    <w:link w:val="EndNoteBibliography"/>
    <w:rsid w:val="00C5774D"/>
    <w:rPr>
      <w:rFonts w:ascii="等线" w:eastAsia="等线" w:hAnsi="等线" w:cs="Times New Rom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</dc:creator>
  <cp:keywords/>
  <dc:description/>
  <cp:lastModifiedBy>Kayla</cp:lastModifiedBy>
  <cp:revision>35</cp:revision>
  <dcterms:created xsi:type="dcterms:W3CDTF">2023-07-14T03:37:00Z</dcterms:created>
  <dcterms:modified xsi:type="dcterms:W3CDTF">2023-09-15T06:24:00Z</dcterms:modified>
</cp:coreProperties>
</file>